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EA" w:rsidRPr="00F01AA2" w:rsidRDefault="00E435EA" w:rsidP="00E34FA8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258"/>
      </w:tblGrid>
      <w:tr w:rsidR="00F01AA2" w:rsidRPr="004D0B6E" w:rsidTr="004D0B6E">
        <w:tc>
          <w:tcPr>
            <w:tcW w:w="10343" w:type="dxa"/>
            <w:gridSpan w:val="2"/>
            <w:shd w:val="clear" w:color="auto" w:fill="D9D9D9"/>
            <w:vAlign w:val="center"/>
          </w:tcPr>
          <w:p w:rsidR="00F01AA2" w:rsidRPr="004D0B6E" w:rsidRDefault="00F01AA2" w:rsidP="004D0B6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D0B6E">
              <w:rPr>
                <w:rFonts w:ascii="Arial" w:hAnsi="Arial" w:cs="Arial"/>
                <w:sz w:val="20"/>
                <w:szCs w:val="20"/>
                <w:lang w:val="es-ES_tradnl"/>
              </w:rPr>
              <w:t>Información de contexto</w:t>
            </w:r>
          </w:p>
        </w:tc>
      </w:tr>
      <w:tr w:rsidR="00E34FA8" w:rsidRPr="004D0B6E" w:rsidTr="004D0B6E">
        <w:tc>
          <w:tcPr>
            <w:tcW w:w="3085" w:type="dxa"/>
            <w:shd w:val="clear" w:color="auto" w:fill="D9D9D9"/>
            <w:vAlign w:val="center"/>
          </w:tcPr>
          <w:p w:rsidR="00E34FA8" w:rsidRPr="004D0B6E" w:rsidRDefault="0016195E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Denominación del proceso:</w:t>
            </w:r>
          </w:p>
        </w:tc>
        <w:tc>
          <w:tcPr>
            <w:tcW w:w="7258" w:type="dxa"/>
          </w:tcPr>
          <w:p w:rsidR="00E34FA8" w:rsidRPr="004D0B6E" w:rsidRDefault="0016195E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Indicadores Calidad de Vida Urbana</w:t>
            </w:r>
          </w:p>
        </w:tc>
      </w:tr>
      <w:tr w:rsidR="00F07C0E" w:rsidRPr="004D0B6E" w:rsidTr="004D0B6E">
        <w:tc>
          <w:tcPr>
            <w:tcW w:w="3085" w:type="dxa"/>
            <w:shd w:val="clear" w:color="auto" w:fill="D9D9D9"/>
            <w:vAlign w:val="center"/>
          </w:tcPr>
          <w:p w:rsidR="00F07C0E" w:rsidRPr="004D0B6E" w:rsidRDefault="00F07C0E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Coordinador/a habitual (puesto):</w:t>
            </w:r>
          </w:p>
        </w:tc>
        <w:tc>
          <w:tcPr>
            <w:tcW w:w="7258" w:type="dxa"/>
          </w:tcPr>
          <w:p w:rsidR="00F07C0E" w:rsidRPr="004D0B6E" w:rsidRDefault="0016195E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Técnico Municipal</w:t>
            </w:r>
          </w:p>
        </w:tc>
      </w:tr>
      <w:tr w:rsidR="00E34FA8" w:rsidRPr="004E4898" w:rsidTr="004D0B6E">
        <w:tc>
          <w:tcPr>
            <w:tcW w:w="3085" w:type="dxa"/>
            <w:shd w:val="clear" w:color="auto" w:fill="D9D9D9"/>
            <w:vAlign w:val="center"/>
          </w:tcPr>
          <w:p w:rsidR="00E34FA8" w:rsidRPr="004E4898" w:rsidRDefault="00E34FA8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Objeto del proceso:</w:t>
            </w:r>
          </w:p>
        </w:tc>
        <w:tc>
          <w:tcPr>
            <w:tcW w:w="7258" w:type="dxa"/>
          </w:tcPr>
          <w:p w:rsidR="00744022" w:rsidRPr="004E4898" w:rsidRDefault="0016195E" w:rsidP="0074402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Conocer necesidades y bienestar de la ciudadanía a través de </w:t>
            </w:r>
            <w:r w:rsidR="008D771A" w:rsidRPr="004E4898">
              <w:rPr>
                <w:rFonts w:ascii="Arial" w:hAnsi="Arial" w:cs="Arial"/>
                <w:sz w:val="20"/>
                <w:szCs w:val="20"/>
                <w:lang w:val="es-ES_tradnl"/>
              </w:rPr>
              <w:t>investigaciones aplicadas a los procesos concretos.</w:t>
            </w:r>
            <w:r w:rsidR="00744022"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Ayuntamientos adquieren compromisos que deben de cumplir. </w:t>
            </w:r>
          </w:p>
          <w:p w:rsidR="00E34FA8" w:rsidRPr="004E4898" w:rsidRDefault="00744022" w:rsidP="0074402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Cada ayuntamiento tendrá unos objetivos en función de las características de su municipio</w:t>
            </w:r>
          </w:p>
        </w:tc>
      </w:tr>
      <w:tr w:rsidR="00E34FA8" w:rsidRPr="004E4898" w:rsidTr="004D0B6E">
        <w:tc>
          <w:tcPr>
            <w:tcW w:w="3085" w:type="dxa"/>
            <w:shd w:val="clear" w:color="auto" w:fill="D9D9D9"/>
            <w:vAlign w:val="center"/>
          </w:tcPr>
          <w:p w:rsidR="00E34FA8" w:rsidRPr="004E4898" w:rsidRDefault="00E34FA8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Alcance:</w:t>
            </w:r>
          </w:p>
        </w:tc>
        <w:tc>
          <w:tcPr>
            <w:tcW w:w="7258" w:type="dxa"/>
          </w:tcPr>
          <w:p w:rsidR="00E34FA8" w:rsidRPr="004E4898" w:rsidRDefault="0016195E" w:rsidP="0016195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Generalmente se trata de un ámbito municipal. Se podría estudiar si es aplicable a la </w:t>
            </w:r>
            <w:proofErr w:type="spellStart"/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territorialización</w:t>
            </w:r>
            <w:proofErr w:type="spellEnd"/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regional navarra</w:t>
            </w:r>
          </w:p>
        </w:tc>
      </w:tr>
      <w:tr w:rsidR="00E07041" w:rsidRPr="004E4898" w:rsidTr="0016195E">
        <w:tc>
          <w:tcPr>
            <w:tcW w:w="3085" w:type="dxa"/>
            <w:vMerge w:val="restart"/>
            <w:shd w:val="clear" w:color="auto" w:fill="D9D9D9"/>
            <w:vAlign w:val="center"/>
          </w:tcPr>
          <w:p w:rsidR="00E07041" w:rsidRPr="004E4898" w:rsidRDefault="00E07041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Necesidades de los grupos de interés implicados</w:t>
            </w:r>
          </w:p>
        </w:tc>
        <w:tc>
          <w:tcPr>
            <w:tcW w:w="7258" w:type="dxa"/>
            <w:tcBorders>
              <w:bottom w:val="single" w:sz="4" w:space="0" w:color="000000"/>
            </w:tcBorders>
          </w:tcPr>
          <w:p w:rsidR="00E07041" w:rsidRPr="004E4898" w:rsidRDefault="00E07041" w:rsidP="008D771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Las demandas principales de la ciudadanía son que se cubran sus demandas de vivienda, transporte, educación, salud, empleo.</w:t>
            </w:r>
          </w:p>
        </w:tc>
      </w:tr>
      <w:tr w:rsidR="00E07041" w:rsidRPr="004E4898" w:rsidTr="0016195E">
        <w:tc>
          <w:tcPr>
            <w:tcW w:w="3085" w:type="dxa"/>
            <w:vMerge/>
            <w:shd w:val="clear" w:color="auto" w:fill="D9D9D9"/>
            <w:vAlign w:val="center"/>
          </w:tcPr>
          <w:p w:rsidR="00E07041" w:rsidRPr="004E4898" w:rsidRDefault="00E07041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:rsidR="00E07041" w:rsidRPr="004E4898" w:rsidRDefault="00E07041" w:rsidP="00E0704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Responsables y técnicos municipales: disponer de información significativa y operable sobre la evolución de las diferentes áreas de Calidad de Vida Urbana. Conocer la opinión de la ciudadanía. Identificar necesidades contemplando la diversidad de género, de etnia, de edades, o de intereses, con el fin de cubrir dichas necesidades y prestar atención a cualquier problemática emergente</w:t>
            </w:r>
          </w:p>
        </w:tc>
      </w:tr>
      <w:tr w:rsidR="00E07041" w:rsidRPr="004E4898" w:rsidTr="0016195E">
        <w:tc>
          <w:tcPr>
            <w:tcW w:w="3085" w:type="dxa"/>
            <w:vMerge/>
            <w:shd w:val="clear" w:color="auto" w:fill="D9D9D9"/>
            <w:vAlign w:val="center"/>
          </w:tcPr>
          <w:p w:rsidR="00E07041" w:rsidRPr="004E4898" w:rsidRDefault="00E07041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258" w:type="dxa"/>
            <w:tcBorders>
              <w:bottom w:val="nil"/>
            </w:tcBorders>
          </w:tcPr>
          <w:p w:rsidR="00E07041" w:rsidRPr="004E4898" w:rsidRDefault="00E07041" w:rsidP="00E0704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Ciudadanía: conocer los datos de calidad de vida de la localidad y opinar sobre ella.  Las necesidades básicas para toda la ciudadanía son: salud, educación, empleo, vivienda, movilidad,  accesibilidad y ocio.</w:t>
            </w:r>
          </w:p>
        </w:tc>
      </w:tr>
      <w:tr w:rsidR="00E34FA8" w:rsidRPr="004E4898" w:rsidTr="00DE0CAB">
        <w:tc>
          <w:tcPr>
            <w:tcW w:w="3085" w:type="dxa"/>
            <w:shd w:val="clear" w:color="auto" w:fill="D9D9D9"/>
            <w:vAlign w:val="center"/>
          </w:tcPr>
          <w:p w:rsidR="00E34FA8" w:rsidRPr="004E4898" w:rsidRDefault="00E34FA8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Principales recursos que se necesitan:</w:t>
            </w:r>
          </w:p>
        </w:tc>
        <w:tc>
          <w:tcPr>
            <w:tcW w:w="7258" w:type="dxa"/>
            <w:tcBorders>
              <w:bottom w:val="single" w:sz="4" w:space="0" w:color="000000"/>
            </w:tcBorders>
          </w:tcPr>
          <w:p w:rsidR="008D771A" w:rsidRPr="004E4898" w:rsidRDefault="00DE0CAB" w:rsidP="00DE0CA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Económicos</w:t>
            </w:r>
          </w:p>
          <w:p w:rsidR="008D771A" w:rsidRPr="004E4898" w:rsidRDefault="008D771A" w:rsidP="00DE0CA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T</w:t>
            </w:r>
            <w:r w:rsidR="00DE0CAB"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ransparencia. </w:t>
            </w:r>
          </w:p>
          <w:p w:rsidR="00E34FA8" w:rsidRPr="004E4898" w:rsidRDefault="00DE0CAB" w:rsidP="00DE0CA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Organizar la participación ciudadana de una forma fluida.</w:t>
            </w:r>
          </w:p>
        </w:tc>
      </w:tr>
      <w:tr w:rsidR="00E34FA8" w:rsidRPr="004E4898" w:rsidTr="00DE0CAB">
        <w:tc>
          <w:tcPr>
            <w:tcW w:w="3085" w:type="dxa"/>
            <w:shd w:val="clear" w:color="auto" w:fill="D9D9D9"/>
            <w:vAlign w:val="center"/>
          </w:tcPr>
          <w:p w:rsidR="00E34FA8" w:rsidRPr="004E4898" w:rsidRDefault="00E34FA8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Principales requisitos legales, sociales, ambientales a tener en cuenta:</w:t>
            </w:r>
          </w:p>
        </w:tc>
        <w:tc>
          <w:tcPr>
            <w:tcW w:w="7258" w:type="dxa"/>
            <w:tcBorders>
              <w:bottom w:val="nil"/>
            </w:tcBorders>
          </w:tcPr>
          <w:p w:rsidR="00E07041" w:rsidRPr="004E4898" w:rsidRDefault="00E07041" w:rsidP="00E0704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</w:t>
            </w:r>
            <w:r w:rsidRPr="004E4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normas municipales</w:t>
            </w: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convivencia y de planificación urbana.</w:t>
            </w:r>
          </w:p>
          <w:p w:rsidR="00E34FA8" w:rsidRPr="004E4898" w:rsidRDefault="00E07041" w:rsidP="00E0704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</w:t>
            </w:r>
            <w:r w:rsidRPr="004E489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leyes forales</w:t>
            </w: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materia de suelo y ordenación del territorio</w:t>
            </w:r>
          </w:p>
        </w:tc>
      </w:tr>
      <w:tr w:rsidR="00E34FA8" w:rsidRPr="004E4898" w:rsidTr="004D0B6E">
        <w:tc>
          <w:tcPr>
            <w:tcW w:w="3085" w:type="dxa"/>
            <w:shd w:val="clear" w:color="auto" w:fill="D9D9D9"/>
            <w:vAlign w:val="center"/>
          </w:tcPr>
          <w:p w:rsidR="00E34FA8" w:rsidRPr="004E4898" w:rsidRDefault="00E34FA8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Personas habitualmente implicadas en el proceso:</w:t>
            </w:r>
          </w:p>
        </w:tc>
        <w:tc>
          <w:tcPr>
            <w:tcW w:w="7258" w:type="dxa"/>
          </w:tcPr>
          <w:p w:rsidR="00E34FA8" w:rsidRPr="004E4898" w:rsidRDefault="00DE0CAB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Equipo pluridisciplinar compuesto po</w:t>
            </w:r>
            <w:r w:rsidR="00A75839" w:rsidRPr="004E4898">
              <w:rPr>
                <w:rFonts w:ascii="Arial" w:hAnsi="Arial" w:cs="Arial"/>
                <w:sz w:val="20"/>
                <w:szCs w:val="20"/>
                <w:lang w:val="es-ES_tradnl"/>
              </w:rPr>
              <w:t>r el t</w:t>
            </w:r>
            <w:r w:rsidR="008D771A" w:rsidRPr="004E4898">
              <w:rPr>
                <w:rFonts w:ascii="Arial" w:hAnsi="Arial" w:cs="Arial"/>
                <w:sz w:val="20"/>
                <w:szCs w:val="20"/>
                <w:lang w:val="es-ES_tradnl"/>
              </w:rPr>
              <w:t>écnico</w:t>
            </w:r>
            <w:r w:rsidR="00A75839" w:rsidRPr="004E4898">
              <w:rPr>
                <w:rFonts w:ascii="Arial" w:hAnsi="Arial" w:cs="Arial"/>
                <w:sz w:val="20"/>
                <w:szCs w:val="20"/>
                <w:lang w:val="es-ES_tradnl"/>
              </w:rPr>
              <w:t>/a</w:t>
            </w:r>
            <w:r w:rsidR="008D771A"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municipal, expertos/as en sociología, economía</w:t>
            </w: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</w:t>
            </w:r>
            <w:r w:rsidR="008D771A" w:rsidRPr="004E4898">
              <w:rPr>
                <w:rFonts w:ascii="Arial" w:hAnsi="Arial" w:cs="Arial"/>
                <w:sz w:val="20"/>
                <w:szCs w:val="20"/>
                <w:lang w:val="es-ES_tradnl"/>
              </w:rPr>
              <w:t>geografía</w:t>
            </w: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</w:tbl>
    <w:p w:rsidR="00E34FA8" w:rsidRPr="004E4898" w:rsidRDefault="00E34FA8" w:rsidP="00E34FA8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258"/>
      </w:tblGrid>
      <w:tr w:rsidR="00E34FA8" w:rsidRPr="004E4898" w:rsidTr="004D0B6E">
        <w:tc>
          <w:tcPr>
            <w:tcW w:w="10343" w:type="dxa"/>
            <w:gridSpan w:val="2"/>
            <w:shd w:val="clear" w:color="auto" w:fill="D9D9D9"/>
          </w:tcPr>
          <w:p w:rsidR="00E34FA8" w:rsidRPr="004E4898" w:rsidRDefault="00E34FA8" w:rsidP="004D0B6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Ejemplos de indicadores que se </w:t>
            </w:r>
            <w:r w:rsidR="00F01AA2" w:rsidRPr="004E4898">
              <w:rPr>
                <w:rFonts w:ascii="Arial" w:hAnsi="Arial" w:cs="Arial"/>
                <w:sz w:val="20"/>
                <w:szCs w:val="20"/>
                <w:lang w:val="es-ES_tradnl"/>
              </w:rPr>
              <w:t>pueden</w:t>
            </w: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utilizar</w:t>
            </w:r>
          </w:p>
        </w:tc>
      </w:tr>
      <w:tr w:rsidR="00E34FA8" w:rsidRPr="004E4898" w:rsidTr="004D0B6E">
        <w:tc>
          <w:tcPr>
            <w:tcW w:w="3085" w:type="dxa"/>
            <w:shd w:val="clear" w:color="auto" w:fill="D9D9D9"/>
          </w:tcPr>
          <w:p w:rsidR="00E34FA8" w:rsidRPr="004E4898" w:rsidRDefault="00E34FA8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control </w:t>
            </w:r>
            <w:r w:rsidR="00F01AA2"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interno </w:t>
            </w: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de actividades:</w:t>
            </w:r>
          </w:p>
        </w:tc>
        <w:tc>
          <w:tcPr>
            <w:tcW w:w="7258" w:type="dxa"/>
          </w:tcPr>
          <w:p w:rsidR="009E2265" w:rsidRPr="004E4898" w:rsidRDefault="00744022" w:rsidP="008D771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Número de indicadores de Calidad de Vida Urbana con daos recogidos, % de servicios municipales con indicadores de Calidad de Vida Urbana, % de áreas de Calidad de Vida Urbana en Plan de Gestión Municipal, % de cumplimiento del programa de Calidad de Vida Urbana, </w:t>
            </w:r>
          </w:p>
        </w:tc>
      </w:tr>
      <w:tr w:rsidR="00E34FA8" w:rsidRPr="004E4898" w:rsidTr="004D0B6E">
        <w:tc>
          <w:tcPr>
            <w:tcW w:w="3085" w:type="dxa"/>
            <w:shd w:val="clear" w:color="auto" w:fill="D9D9D9"/>
          </w:tcPr>
          <w:p w:rsidR="00E34FA8" w:rsidRPr="004E4898" w:rsidRDefault="00E34FA8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De resultados de rendimiento:</w:t>
            </w:r>
          </w:p>
        </w:tc>
        <w:tc>
          <w:tcPr>
            <w:tcW w:w="7258" w:type="dxa"/>
          </w:tcPr>
          <w:p w:rsidR="00E34FA8" w:rsidRPr="004E4898" w:rsidRDefault="00744022" w:rsidP="00A7583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Índice de Calidad de Vida Urbana, Evolución de resultados en servicios municipales relacionados con la Calidad de Vida Urbana (varios), % de áreas de Calidad de Vida Urbana con mejoras para la ciudadanía</w:t>
            </w:r>
          </w:p>
        </w:tc>
      </w:tr>
      <w:tr w:rsidR="00E34FA8" w:rsidRPr="004E4898" w:rsidTr="004D0B6E">
        <w:tc>
          <w:tcPr>
            <w:tcW w:w="3085" w:type="dxa"/>
            <w:shd w:val="clear" w:color="auto" w:fill="D9D9D9"/>
          </w:tcPr>
          <w:p w:rsidR="00E34FA8" w:rsidRPr="004E4898" w:rsidRDefault="00F01AA2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De percepción de clientes u otros grupos de interés:</w:t>
            </w:r>
          </w:p>
        </w:tc>
        <w:tc>
          <w:tcPr>
            <w:tcW w:w="7258" w:type="dxa"/>
          </w:tcPr>
          <w:p w:rsidR="00E34FA8" w:rsidRPr="004E4898" w:rsidRDefault="00744022" w:rsidP="009E226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% de ciudadanía satisfecha con los servicios municipales relacionados con la Calidad de Vida Urbana (varios), % de ciudadanía satisfecha con la Calidad de Vida Urbana</w:t>
            </w:r>
          </w:p>
        </w:tc>
      </w:tr>
    </w:tbl>
    <w:p w:rsidR="00E34FA8" w:rsidRPr="004E4898" w:rsidRDefault="00E34FA8" w:rsidP="00E34FA8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258"/>
      </w:tblGrid>
      <w:tr w:rsidR="00F01AA2" w:rsidRPr="004E4898" w:rsidTr="004D0B6E">
        <w:tc>
          <w:tcPr>
            <w:tcW w:w="10343" w:type="dxa"/>
            <w:gridSpan w:val="2"/>
            <w:shd w:val="clear" w:color="auto" w:fill="D9D9D9"/>
          </w:tcPr>
          <w:p w:rsidR="00F01AA2" w:rsidRPr="004E4898" w:rsidRDefault="00F07C0E" w:rsidP="004D0B6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Revisión y mejora</w:t>
            </w:r>
          </w:p>
        </w:tc>
      </w:tr>
      <w:tr w:rsidR="00F01AA2" w:rsidRPr="004E4898" w:rsidTr="004D0B6E">
        <w:tc>
          <w:tcPr>
            <w:tcW w:w="3085" w:type="dxa"/>
            <w:shd w:val="clear" w:color="auto" w:fill="D9D9D9"/>
          </w:tcPr>
          <w:p w:rsidR="00F01AA2" w:rsidRPr="004E4898" w:rsidRDefault="00F01AA2" w:rsidP="00F01AA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Recomendación de revisiones a realizar:</w:t>
            </w:r>
          </w:p>
        </w:tc>
        <w:tc>
          <w:tcPr>
            <w:tcW w:w="7258" w:type="dxa"/>
          </w:tcPr>
          <w:p w:rsidR="00E07041" w:rsidRPr="004E4898" w:rsidRDefault="00DE0CAB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Evaluaciones de resultados anuales. La mejor evaluación es la externa.</w:t>
            </w:r>
            <w:r w:rsidR="00E07041"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F01AA2" w:rsidRPr="004E4898" w:rsidRDefault="00E07041" w:rsidP="00E34FA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Como instrumento muy completo se podrá realizar la consulta a través una encuesta representativa dirigida a la población general.</w:t>
            </w:r>
          </w:p>
        </w:tc>
      </w:tr>
      <w:tr w:rsidR="00F07C0E" w:rsidRPr="004E4898" w:rsidTr="00E07041">
        <w:trPr>
          <w:trHeight w:val="1337"/>
        </w:trPr>
        <w:tc>
          <w:tcPr>
            <w:tcW w:w="3085" w:type="dxa"/>
            <w:shd w:val="clear" w:color="auto" w:fill="D9D9D9"/>
          </w:tcPr>
          <w:p w:rsidR="00F07C0E" w:rsidRPr="004E4898" w:rsidRDefault="00F07C0E" w:rsidP="00F07C0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Recomendación de formas de mejora a realizar:</w:t>
            </w:r>
          </w:p>
        </w:tc>
        <w:tc>
          <w:tcPr>
            <w:tcW w:w="7258" w:type="dxa"/>
          </w:tcPr>
          <w:p w:rsidR="00F07C0E" w:rsidRPr="004E4898" w:rsidRDefault="009E2265" w:rsidP="00A7583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>Las evaluaciones indicarán los objetivos no cumplid</w:t>
            </w:r>
            <w:r w:rsidR="00A75839" w:rsidRPr="004E4898">
              <w:rPr>
                <w:rFonts w:ascii="Arial" w:hAnsi="Arial" w:cs="Arial"/>
                <w:sz w:val="20"/>
                <w:szCs w:val="20"/>
                <w:lang w:val="es-ES_tradnl"/>
              </w:rPr>
              <w:t>os del programa. Lo que obligaría a</w:t>
            </w: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retomar el tema y analizar su </w:t>
            </w:r>
            <w:r w:rsidR="00A75839" w:rsidRPr="004E4898">
              <w:rPr>
                <w:rFonts w:ascii="Arial" w:hAnsi="Arial" w:cs="Arial"/>
                <w:sz w:val="20"/>
                <w:szCs w:val="20"/>
                <w:lang w:val="es-ES_tradnl"/>
              </w:rPr>
              <w:t>incumplimiento</w:t>
            </w:r>
            <w:bookmarkStart w:id="0" w:name="_GoBack"/>
            <w:bookmarkEnd w:id="0"/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la imposibilidad de cumplimiento que llevaría a un replanteamiento del problema.</w:t>
            </w:r>
          </w:p>
          <w:p w:rsidR="00E07041" w:rsidRPr="004E4898" w:rsidRDefault="00E07041" w:rsidP="00A7583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48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través de la participación ciudadana se pueden detectar necesidades y problemas, como forma de evaluación continua. </w:t>
            </w:r>
          </w:p>
        </w:tc>
      </w:tr>
    </w:tbl>
    <w:p w:rsidR="00E34FA8" w:rsidRPr="00F01AA2" w:rsidRDefault="00E34FA8" w:rsidP="00E34FA8">
      <w:pPr>
        <w:rPr>
          <w:rFonts w:ascii="Arial" w:hAnsi="Arial" w:cs="Arial"/>
          <w:sz w:val="20"/>
          <w:szCs w:val="20"/>
          <w:lang w:val="es-ES_tradnl"/>
        </w:rPr>
      </w:pPr>
    </w:p>
    <w:p w:rsidR="00E34FA8" w:rsidRPr="00F01AA2" w:rsidRDefault="00E34FA8" w:rsidP="00E34FA8">
      <w:pPr>
        <w:rPr>
          <w:rFonts w:ascii="Arial" w:hAnsi="Arial" w:cs="Arial"/>
          <w:sz w:val="20"/>
          <w:szCs w:val="20"/>
          <w:lang w:val="es-ES_tradnl"/>
        </w:rPr>
      </w:pPr>
    </w:p>
    <w:p w:rsidR="00E34FA8" w:rsidRPr="00F01AA2" w:rsidRDefault="00E34FA8">
      <w:pPr>
        <w:rPr>
          <w:rFonts w:ascii="Arial" w:hAnsi="Arial" w:cs="Arial"/>
          <w:sz w:val="20"/>
          <w:szCs w:val="20"/>
          <w:lang w:val="es-ES_tradnl"/>
        </w:rPr>
      </w:pPr>
    </w:p>
    <w:sectPr w:rsidR="00E34FA8" w:rsidRPr="00F01AA2" w:rsidSect="00FA159D">
      <w:headerReference w:type="default" r:id="rId8"/>
      <w:pgSz w:w="11905" w:h="16837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41" w:rsidRDefault="00E07041">
      <w:r>
        <w:separator/>
      </w:r>
    </w:p>
  </w:endnote>
  <w:endnote w:type="continuationSeparator" w:id="1">
    <w:p w:rsidR="00E07041" w:rsidRDefault="00E0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41" w:rsidRDefault="00E07041">
      <w:r>
        <w:separator/>
      </w:r>
    </w:p>
  </w:footnote>
  <w:footnote w:type="continuationSeparator" w:id="1">
    <w:p w:rsidR="00E07041" w:rsidRDefault="00E0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518"/>
      <w:gridCol w:w="5392"/>
      <w:gridCol w:w="2974"/>
    </w:tblGrid>
    <w:tr w:rsidR="00E07041" w:rsidTr="00E34FA8">
      <w:trPr>
        <w:trHeight w:val="983"/>
      </w:trPr>
      <w:tc>
        <w:tcPr>
          <w:tcW w:w="2518" w:type="dxa"/>
          <w:vAlign w:val="bottom"/>
        </w:tcPr>
        <w:p w:rsidR="00E07041" w:rsidRDefault="00E07041" w:rsidP="00745CA0">
          <w:pPr>
            <w:pStyle w:val="Encabezado"/>
            <w:snapToGrid w:val="0"/>
          </w:pPr>
        </w:p>
        <w:p w:rsidR="00E07041" w:rsidRPr="00745CA0" w:rsidRDefault="00727322" w:rsidP="00745CA0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-3.55pt;margin-top:14.4pt;width:121.1pt;height:39.35pt;z-index:251657728;mso-position-horizontal-relative:margin;mso-position-vertical-relative:margin">
                <v:imagedata r:id="rId1" o:title="logo cátedra completo 1v5"/>
                <w10:wrap type="square" anchorx="margin" anchory="margin"/>
              </v:shape>
            </w:pict>
          </w:r>
        </w:p>
      </w:tc>
      <w:tc>
        <w:tcPr>
          <w:tcW w:w="5392" w:type="dxa"/>
          <w:vAlign w:val="center"/>
        </w:tcPr>
        <w:p w:rsidR="00E07041" w:rsidRDefault="00E0704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Ficha contextual del proceso</w:t>
          </w:r>
        </w:p>
        <w:p w:rsidR="00E07041" w:rsidRDefault="00E0704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74" w:type="dxa"/>
        </w:tcPr>
        <w:p w:rsidR="00E07041" w:rsidRDefault="00E07041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Fecha: 10/09/2016</w:t>
          </w:r>
        </w:p>
        <w:p w:rsidR="00E07041" w:rsidRDefault="00E07041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Ed.: 1 </w:t>
          </w:r>
        </w:p>
        <w:p w:rsidR="00E07041" w:rsidRDefault="00E07041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Página </w:t>
          </w:r>
          <w:r w:rsidR="00727322"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PAGE </w:instrText>
          </w:r>
          <w:r w:rsidR="00727322">
            <w:rPr>
              <w:rFonts w:cs="Arial"/>
              <w:sz w:val="20"/>
              <w:szCs w:val="20"/>
            </w:rPr>
            <w:fldChar w:fldCharType="separate"/>
          </w:r>
          <w:r w:rsidR="004E4898">
            <w:rPr>
              <w:rFonts w:cs="Arial"/>
              <w:noProof/>
              <w:sz w:val="20"/>
              <w:szCs w:val="20"/>
            </w:rPr>
            <w:t>1</w:t>
          </w:r>
          <w:r w:rsidR="00727322">
            <w:rPr>
              <w:rFonts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 2</w:t>
          </w:r>
        </w:p>
        <w:p w:rsidR="00E07041" w:rsidRDefault="00E07041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Autor/a: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Josune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Aguinaga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Roustan</w:t>
          </w:r>
          <w:proofErr w:type="spellEnd"/>
        </w:p>
      </w:tc>
    </w:tr>
  </w:tbl>
  <w:p w:rsidR="00E07041" w:rsidRDefault="00E07041">
    <w:pPr>
      <w:pStyle w:val="Encabezad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6468F3"/>
    <w:multiLevelType w:val="hybridMultilevel"/>
    <w:tmpl w:val="190A0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CDB"/>
    <w:rsid w:val="0005793D"/>
    <w:rsid w:val="00095C0D"/>
    <w:rsid w:val="00120F0B"/>
    <w:rsid w:val="001459A9"/>
    <w:rsid w:val="0016195E"/>
    <w:rsid w:val="001D5752"/>
    <w:rsid w:val="00234B61"/>
    <w:rsid w:val="00322E09"/>
    <w:rsid w:val="003A6C2B"/>
    <w:rsid w:val="003D7F7B"/>
    <w:rsid w:val="004216CA"/>
    <w:rsid w:val="004B3680"/>
    <w:rsid w:val="004D0B6E"/>
    <w:rsid w:val="004E4898"/>
    <w:rsid w:val="005133C0"/>
    <w:rsid w:val="0061286E"/>
    <w:rsid w:val="006B1838"/>
    <w:rsid w:val="00703144"/>
    <w:rsid w:val="00727322"/>
    <w:rsid w:val="00732076"/>
    <w:rsid w:val="00744022"/>
    <w:rsid w:val="00745CA0"/>
    <w:rsid w:val="0076500B"/>
    <w:rsid w:val="007C6D76"/>
    <w:rsid w:val="0083175C"/>
    <w:rsid w:val="008B3DFA"/>
    <w:rsid w:val="008D41C3"/>
    <w:rsid w:val="008D771A"/>
    <w:rsid w:val="009435E8"/>
    <w:rsid w:val="009842BB"/>
    <w:rsid w:val="009E2265"/>
    <w:rsid w:val="00A41E82"/>
    <w:rsid w:val="00A55AC7"/>
    <w:rsid w:val="00A701B4"/>
    <w:rsid w:val="00A75839"/>
    <w:rsid w:val="00A934F3"/>
    <w:rsid w:val="00AC355D"/>
    <w:rsid w:val="00B40CDB"/>
    <w:rsid w:val="00BB17F8"/>
    <w:rsid w:val="00C32A77"/>
    <w:rsid w:val="00C977C8"/>
    <w:rsid w:val="00CB15BA"/>
    <w:rsid w:val="00D616EE"/>
    <w:rsid w:val="00D61840"/>
    <w:rsid w:val="00DE0CAB"/>
    <w:rsid w:val="00E07041"/>
    <w:rsid w:val="00E34FA8"/>
    <w:rsid w:val="00E435EA"/>
    <w:rsid w:val="00F01AA2"/>
    <w:rsid w:val="00F07C0E"/>
    <w:rsid w:val="00F5531E"/>
    <w:rsid w:val="00F91F3E"/>
    <w:rsid w:val="00FA159D"/>
    <w:rsid w:val="00FC10FE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9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A159D"/>
    <w:pPr>
      <w:keepNext/>
      <w:numPr>
        <w:numId w:val="1"/>
      </w:numPr>
      <w:outlineLvl w:val="0"/>
    </w:pPr>
    <w:rPr>
      <w:b/>
      <w:bCs/>
      <w:color w:val="FF0000"/>
      <w:sz w:val="20"/>
      <w:u w:val="single"/>
    </w:rPr>
  </w:style>
  <w:style w:type="paragraph" w:styleId="Ttulo2">
    <w:name w:val="heading 2"/>
    <w:basedOn w:val="Normal"/>
    <w:next w:val="Normal"/>
    <w:qFormat/>
    <w:rsid w:val="00FA159D"/>
    <w:pPr>
      <w:keepNext/>
      <w:numPr>
        <w:ilvl w:val="1"/>
        <w:numId w:val="1"/>
      </w:numPr>
      <w:jc w:val="center"/>
      <w:outlineLvl w:val="1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A159D"/>
    <w:rPr>
      <w:rFonts w:ascii="Arial" w:eastAsia="Times New Roman" w:hAnsi="Arial" w:cs="Arial"/>
    </w:rPr>
  </w:style>
  <w:style w:type="character" w:customStyle="1" w:styleId="WW8Num1z1">
    <w:name w:val="WW8Num1z1"/>
    <w:rsid w:val="00FA159D"/>
    <w:rPr>
      <w:rFonts w:ascii="Courier New" w:hAnsi="Courier New" w:cs="Courier New"/>
    </w:rPr>
  </w:style>
  <w:style w:type="character" w:customStyle="1" w:styleId="WW8Num1z2">
    <w:name w:val="WW8Num1z2"/>
    <w:rsid w:val="00FA159D"/>
    <w:rPr>
      <w:rFonts w:ascii="Wingdings" w:hAnsi="Wingdings"/>
    </w:rPr>
  </w:style>
  <w:style w:type="character" w:customStyle="1" w:styleId="WW8Num1z3">
    <w:name w:val="WW8Num1z3"/>
    <w:rsid w:val="00FA159D"/>
    <w:rPr>
      <w:rFonts w:ascii="Symbol" w:hAnsi="Symbol"/>
    </w:rPr>
  </w:style>
  <w:style w:type="character" w:customStyle="1" w:styleId="WW8Num2z0">
    <w:name w:val="WW8Num2z0"/>
    <w:rsid w:val="00FA159D"/>
    <w:rPr>
      <w:rFonts w:ascii="Arial" w:eastAsia="Times New Roman" w:hAnsi="Arial" w:cs="Arial"/>
    </w:rPr>
  </w:style>
  <w:style w:type="character" w:customStyle="1" w:styleId="WW8Num2z1">
    <w:name w:val="WW8Num2z1"/>
    <w:rsid w:val="00FA159D"/>
    <w:rPr>
      <w:rFonts w:ascii="Courier New" w:hAnsi="Courier New" w:cs="Courier New"/>
    </w:rPr>
  </w:style>
  <w:style w:type="character" w:customStyle="1" w:styleId="WW8Num2z2">
    <w:name w:val="WW8Num2z2"/>
    <w:rsid w:val="00FA159D"/>
    <w:rPr>
      <w:rFonts w:ascii="Wingdings" w:hAnsi="Wingdings"/>
    </w:rPr>
  </w:style>
  <w:style w:type="character" w:customStyle="1" w:styleId="WW8Num2z3">
    <w:name w:val="WW8Num2z3"/>
    <w:rsid w:val="00FA159D"/>
    <w:rPr>
      <w:rFonts w:ascii="Symbol" w:hAnsi="Symbol"/>
    </w:rPr>
  </w:style>
  <w:style w:type="character" w:customStyle="1" w:styleId="WW8Num3z0">
    <w:name w:val="WW8Num3z0"/>
    <w:rsid w:val="00FA159D"/>
    <w:rPr>
      <w:rFonts w:ascii="Arial" w:eastAsia="Times New Roman" w:hAnsi="Arial" w:cs="Arial"/>
    </w:rPr>
  </w:style>
  <w:style w:type="character" w:customStyle="1" w:styleId="WW8Num3z1">
    <w:name w:val="WW8Num3z1"/>
    <w:rsid w:val="00FA159D"/>
    <w:rPr>
      <w:rFonts w:ascii="Courier New" w:hAnsi="Courier New" w:cs="Courier New"/>
    </w:rPr>
  </w:style>
  <w:style w:type="character" w:customStyle="1" w:styleId="WW8Num3z2">
    <w:name w:val="WW8Num3z2"/>
    <w:rsid w:val="00FA159D"/>
    <w:rPr>
      <w:rFonts w:ascii="Wingdings" w:hAnsi="Wingdings"/>
    </w:rPr>
  </w:style>
  <w:style w:type="character" w:customStyle="1" w:styleId="WW8Num3z3">
    <w:name w:val="WW8Num3z3"/>
    <w:rsid w:val="00FA159D"/>
    <w:rPr>
      <w:rFonts w:ascii="Symbol" w:hAnsi="Symbol"/>
    </w:rPr>
  </w:style>
  <w:style w:type="character" w:customStyle="1" w:styleId="WW8Num4z0">
    <w:name w:val="WW8Num4z0"/>
    <w:rsid w:val="00FA159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A159D"/>
    <w:rPr>
      <w:rFonts w:ascii="Courier New" w:hAnsi="Courier New"/>
    </w:rPr>
  </w:style>
  <w:style w:type="character" w:customStyle="1" w:styleId="WW8Num4z2">
    <w:name w:val="WW8Num4z2"/>
    <w:rsid w:val="00FA159D"/>
    <w:rPr>
      <w:rFonts w:ascii="Wingdings" w:hAnsi="Wingdings"/>
    </w:rPr>
  </w:style>
  <w:style w:type="character" w:customStyle="1" w:styleId="WW8Num4z3">
    <w:name w:val="WW8Num4z3"/>
    <w:rsid w:val="00FA159D"/>
    <w:rPr>
      <w:rFonts w:ascii="Symbol" w:hAnsi="Symbol"/>
    </w:rPr>
  </w:style>
  <w:style w:type="character" w:customStyle="1" w:styleId="Fuentedeprrafopredeter1">
    <w:name w:val="Fuente de párrafo predeter.1"/>
    <w:rsid w:val="00FA159D"/>
  </w:style>
  <w:style w:type="paragraph" w:customStyle="1" w:styleId="Encabezado1">
    <w:name w:val="Encabezado1"/>
    <w:basedOn w:val="Normal"/>
    <w:next w:val="Textoindependiente"/>
    <w:rsid w:val="00FA15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FA159D"/>
    <w:pPr>
      <w:jc w:val="both"/>
    </w:pPr>
    <w:rPr>
      <w:rFonts w:ascii="Arial" w:hAnsi="Arial" w:cs="Arial"/>
      <w:i/>
      <w:sz w:val="18"/>
      <w:szCs w:val="18"/>
      <w:lang w:val="es-ES_tradnl"/>
    </w:rPr>
  </w:style>
  <w:style w:type="paragraph" w:styleId="Lista">
    <w:name w:val="List"/>
    <w:basedOn w:val="Textoindependiente"/>
    <w:rsid w:val="00FA159D"/>
    <w:rPr>
      <w:rFonts w:cs="Tahoma"/>
    </w:rPr>
  </w:style>
  <w:style w:type="paragraph" w:customStyle="1" w:styleId="Etiqueta">
    <w:name w:val="Etiqueta"/>
    <w:basedOn w:val="Normal"/>
    <w:rsid w:val="00FA15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A159D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FA159D"/>
    <w:pPr>
      <w:jc w:val="center"/>
    </w:pPr>
    <w:rPr>
      <w:u w:val="single"/>
    </w:rPr>
  </w:style>
  <w:style w:type="paragraph" w:styleId="Subttulo">
    <w:name w:val="Subtitle"/>
    <w:basedOn w:val="Encabezado1"/>
    <w:next w:val="Textoindependiente"/>
    <w:qFormat/>
    <w:rsid w:val="00FA159D"/>
    <w:pPr>
      <w:jc w:val="center"/>
    </w:pPr>
    <w:rPr>
      <w:i/>
      <w:iCs/>
    </w:rPr>
  </w:style>
  <w:style w:type="paragraph" w:styleId="Encabezado">
    <w:name w:val="header"/>
    <w:basedOn w:val="Normal"/>
    <w:rsid w:val="00FA15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159D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FA159D"/>
    <w:pPr>
      <w:suppressLineNumbers/>
    </w:pPr>
  </w:style>
  <w:style w:type="paragraph" w:customStyle="1" w:styleId="Encabezadodelatabla">
    <w:name w:val="Encabezado de la tabla"/>
    <w:basedOn w:val="Contenidodelatabla"/>
    <w:rsid w:val="00FA159D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40C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1D575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D575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">
    <w:name w:val="Light List"/>
    <w:basedOn w:val="Tablanormal"/>
    <w:uiPriority w:val="61"/>
    <w:rsid w:val="001D575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1D57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D77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7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44A7-6E04-4775-8BB5-70F5201A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AUTOFORMACIÓN</vt:lpstr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AUTOFORMACIÓN</dc:title>
  <dc:creator>Angel</dc:creator>
  <cp:lastModifiedBy>UNED</cp:lastModifiedBy>
  <cp:revision>4</cp:revision>
  <cp:lastPrinted>2016-10-03T10:30:00Z</cp:lastPrinted>
  <dcterms:created xsi:type="dcterms:W3CDTF">2016-10-04T07:46:00Z</dcterms:created>
  <dcterms:modified xsi:type="dcterms:W3CDTF">2017-11-14T14:56:00Z</dcterms:modified>
</cp:coreProperties>
</file>